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041FAAE" w14:textId="77777777" w:rsidR="007E7613" w:rsidRDefault="00B60343" w:rsidP="00B60343">
      <w:pPr>
        <w:pStyle w:val="normal0"/>
        <w:spacing w:after="0" w:line="240" w:lineRule="auto"/>
        <w:ind w:firstLine="60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ASPERGILLOSIS</w:t>
      </w:r>
    </w:p>
    <w:p w14:paraId="2E3AD322" w14:textId="77777777" w:rsidR="00B60343" w:rsidRPr="00B60343" w:rsidRDefault="00B60343" w:rsidP="00B60343">
      <w:pPr>
        <w:pStyle w:val="normal0"/>
        <w:spacing w:after="0" w:line="240" w:lineRule="auto"/>
        <w:ind w:firstLine="60"/>
        <w:rPr>
          <w:rFonts w:ascii="Arial" w:hAnsi="Arial" w:cs="Arial"/>
          <w:b/>
          <w:sz w:val="32"/>
          <w:szCs w:val="32"/>
        </w:rPr>
      </w:pPr>
    </w:p>
    <w:p w14:paraId="21C284D0" w14:textId="77777777" w:rsidR="007E7613" w:rsidRDefault="00B60343" w:rsidP="00B60343">
      <w:pPr>
        <w:pStyle w:val="normal0"/>
        <w:numPr>
          <w:ilvl w:val="0"/>
          <w:numId w:val="1"/>
        </w:numPr>
        <w:spacing w:after="170" w:line="240" w:lineRule="auto"/>
        <w:ind w:left="42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signs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and symptoms: </w:t>
      </w:r>
    </w:p>
    <w:p w14:paraId="3E6DE1A6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r>
        <w:rPr>
          <w:rFonts w:ascii="Times New Roman" w:eastAsia="Times New Roman" w:hAnsi="Times New Roman" w:cs="Times New Roman"/>
          <w:sz w:val="24"/>
        </w:rPr>
        <w:t>29 y/o woman w/</w:t>
      </w:r>
      <w:r>
        <w:rPr>
          <w:rFonts w:ascii="Times New Roman" w:eastAsia="Times New Roman" w:hAnsi="Times New Roman" w:cs="Times New Roman"/>
          <w:b/>
          <w:sz w:val="24"/>
        </w:rPr>
        <w:t>dry cough</w:t>
      </w:r>
      <w:r>
        <w:rPr>
          <w:rFonts w:ascii="Times New Roman" w:eastAsia="Times New Roman" w:hAnsi="Times New Roman" w:cs="Times New Roman"/>
          <w:sz w:val="24"/>
        </w:rPr>
        <w:t xml:space="preserve">, SOB, and </w:t>
      </w:r>
      <w:proofErr w:type="spellStart"/>
      <w:r>
        <w:rPr>
          <w:rFonts w:ascii="Times New Roman" w:eastAsia="Times New Roman" w:hAnsi="Times New Roman" w:cs="Times New Roman"/>
          <w:sz w:val="24"/>
        </w:rPr>
        <w:t>pleuritic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chest pain</w:t>
      </w:r>
      <w:r>
        <w:rPr>
          <w:rFonts w:ascii="Times New Roman" w:eastAsia="Times New Roman" w:hAnsi="Times New Roman" w:cs="Times New Roman"/>
          <w:sz w:val="24"/>
        </w:rPr>
        <w:t xml:space="preserve"> for </w:t>
      </w:r>
      <w:r>
        <w:rPr>
          <w:rFonts w:ascii="Times New Roman" w:eastAsia="Times New Roman" w:hAnsi="Times New Roman" w:cs="Times New Roman"/>
          <w:b/>
          <w:sz w:val="24"/>
        </w:rPr>
        <w:t>more than one week</w:t>
      </w:r>
    </w:p>
    <w:p w14:paraId="18767F17" w14:textId="77777777" w:rsidR="007E7613" w:rsidRDefault="00B60343" w:rsidP="00B60343">
      <w:pPr>
        <w:pStyle w:val="normal0"/>
        <w:numPr>
          <w:ilvl w:val="2"/>
          <w:numId w:val="1"/>
        </w:numPr>
        <w:spacing w:after="17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developed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fever, chills, and </w:t>
      </w:r>
      <w:r>
        <w:rPr>
          <w:rFonts w:ascii="Times New Roman" w:eastAsia="Times New Roman" w:hAnsi="Times New Roman" w:cs="Times New Roman"/>
          <w:b/>
          <w:sz w:val="24"/>
        </w:rPr>
        <w:t>bloody cough</w:t>
      </w:r>
    </w:p>
    <w:p w14:paraId="14F64A68" w14:textId="77777777" w:rsidR="007E7613" w:rsidRDefault="00B60343" w:rsidP="00B60343">
      <w:pPr>
        <w:pStyle w:val="normal0"/>
        <w:numPr>
          <w:ilvl w:val="2"/>
          <w:numId w:val="1"/>
        </w:numPr>
        <w:spacing w:after="170" w:line="240" w:lineRule="auto"/>
        <w:ind w:left="1860"/>
        <w:contextualSpacing/>
      </w:pPr>
      <w:r>
        <w:rPr>
          <w:rFonts w:ascii="Times New Roman" w:eastAsia="Times New Roman" w:hAnsi="Times New Roman" w:cs="Times New Roman"/>
          <w:b/>
          <w:sz w:val="24"/>
        </w:rPr>
        <w:t>CT= Small pulmonary nodules and a hazy rim (halo sign)</w:t>
      </w:r>
    </w:p>
    <w:p w14:paraId="47914256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two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week prior </w:t>
      </w: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had been admitted for </w:t>
      </w:r>
      <w:proofErr w:type="spellStart"/>
      <w:r>
        <w:rPr>
          <w:rFonts w:ascii="Times New Roman" w:eastAsia="Times New Roman" w:hAnsi="Times New Roman" w:cs="Times New Roman"/>
          <w:sz w:val="24"/>
        </w:rPr>
        <w:t>tx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of </w:t>
      </w:r>
      <w:r>
        <w:rPr>
          <w:rFonts w:ascii="Times New Roman" w:eastAsia="Times New Roman" w:hAnsi="Times New Roman" w:cs="Times New Roman"/>
          <w:b/>
          <w:sz w:val="24"/>
        </w:rPr>
        <w:t>leukemia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Wingdings" w:eastAsia="Wingdings" w:hAnsi="Wingdings" w:cs="Wingdings"/>
          <w:sz w:val="24"/>
        </w:rPr>
        <w:t></w:t>
      </w:r>
      <w:r>
        <w:rPr>
          <w:rFonts w:ascii="Times New Roman" w:eastAsia="Times New Roman" w:hAnsi="Times New Roman" w:cs="Times New Roman"/>
          <w:sz w:val="24"/>
        </w:rPr>
        <w:t xml:space="preserve"> hospital in the midst of major reconstruction project</w:t>
      </w:r>
    </w:p>
    <w:p w14:paraId="2AAAACD1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while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hospitalized received </w:t>
      </w:r>
      <w:r>
        <w:rPr>
          <w:rFonts w:ascii="Times New Roman" w:eastAsia="Times New Roman" w:hAnsi="Times New Roman" w:cs="Times New Roman"/>
          <w:b/>
          <w:sz w:val="24"/>
        </w:rPr>
        <w:t>cytotoxic chemotherapy and developed severe neutropenia</w:t>
      </w:r>
    </w:p>
    <w:p w14:paraId="70B4A404" w14:textId="77777777" w:rsidR="007E7613" w:rsidRDefault="00B60343" w:rsidP="00B60343">
      <w:pPr>
        <w:pStyle w:val="normal0"/>
        <w:numPr>
          <w:ilvl w:val="0"/>
          <w:numId w:val="1"/>
        </w:numPr>
        <w:spacing w:after="170" w:line="240" w:lineRule="auto"/>
        <w:ind w:left="42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source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of infectious organism: </w:t>
      </w:r>
      <w:proofErr w:type="spellStart"/>
      <w:r>
        <w:rPr>
          <w:rFonts w:ascii="Times New Roman" w:eastAsia="Times New Roman" w:hAnsi="Times New Roman" w:cs="Times New Roman"/>
          <w:b/>
          <w:i/>
          <w:color w:val="0000FF"/>
          <w:sz w:val="24"/>
        </w:rPr>
        <w:t>Aspergillus</w:t>
      </w:r>
      <w:proofErr w:type="spellEnd"/>
      <w:r>
        <w:rPr>
          <w:rFonts w:ascii="Times New Roman" w:eastAsia="Times New Roman" w:hAnsi="Times New Roman" w:cs="Times New Roman"/>
          <w:b/>
          <w:i/>
          <w:color w:val="0000FF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FF"/>
          <w:sz w:val="24"/>
        </w:rPr>
        <w:t>fumigatus</w:t>
      </w:r>
      <w:proofErr w:type="spellEnd"/>
    </w:p>
    <w:p w14:paraId="5D052257" w14:textId="77777777" w:rsidR="007E7613" w:rsidRDefault="00B60343" w:rsidP="00B60343">
      <w:pPr>
        <w:pStyle w:val="normal0"/>
        <w:numPr>
          <w:ilvl w:val="0"/>
          <w:numId w:val="1"/>
        </w:numPr>
        <w:spacing w:after="170" w:line="240" w:lineRule="auto"/>
        <w:ind w:left="42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manner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</w:t>
      </w:r>
      <w:r>
        <w:rPr>
          <w:rFonts w:ascii="Times New Roman" w:eastAsia="Times New Roman" w:hAnsi="Times New Roman" w:cs="Times New Roman"/>
          <w:sz w:val="24"/>
        </w:rPr>
        <w:t xml:space="preserve">f exposure, route of infection, tissues that they reside and, where appropriate, transmission to others: </w:t>
      </w:r>
    </w:p>
    <w:p w14:paraId="29034B3C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fungus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is ubiquitous in nature and associated w/decaying vegetation</w:t>
      </w:r>
    </w:p>
    <w:p w14:paraId="7E69F849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inhalation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of airborne conidia is major mode of acquisition; not transmitted perso</w:t>
      </w:r>
      <w:r>
        <w:rPr>
          <w:rFonts w:ascii="Times New Roman" w:eastAsia="Times New Roman" w:hAnsi="Times New Roman" w:cs="Times New Roman"/>
          <w:sz w:val="24"/>
        </w:rPr>
        <w:t>n to person</w:t>
      </w:r>
    </w:p>
    <w:p w14:paraId="42671144" w14:textId="77777777" w:rsidR="007E7613" w:rsidRDefault="00B60343" w:rsidP="00B60343">
      <w:pPr>
        <w:pStyle w:val="normal0"/>
        <w:numPr>
          <w:ilvl w:val="0"/>
          <w:numId w:val="1"/>
        </w:numPr>
        <w:spacing w:after="170" w:line="240" w:lineRule="auto"/>
        <w:ind w:left="42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pathology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and the manner by which the particular disease develops: </w:t>
      </w:r>
    </w:p>
    <w:p w14:paraId="070E2437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invasive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pathogen</w:t>
      </w:r>
    </w:p>
    <w:p w14:paraId="44900289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number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sz w:val="24"/>
        </w:rPr>
        <w:t>adhesins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involved in colonization of lower respiratory airways</w:t>
      </w:r>
    </w:p>
    <w:p w14:paraId="63BE1038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host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immune response to the mold determines whether the organisms is cleared or wheth</w:t>
      </w:r>
      <w:r>
        <w:rPr>
          <w:rFonts w:ascii="Times New Roman" w:eastAsia="Times New Roman" w:hAnsi="Times New Roman" w:cs="Times New Roman"/>
          <w:sz w:val="24"/>
        </w:rPr>
        <w:t>er disease develops</w:t>
      </w:r>
    </w:p>
    <w:p w14:paraId="0D811501" w14:textId="77777777" w:rsidR="007E7613" w:rsidRDefault="00B60343" w:rsidP="00B60343">
      <w:pPr>
        <w:pStyle w:val="normal0"/>
        <w:numPr>
          <w:ilvl w:val="2"/>
          <w:numId w:val="1"/>
        </w:numPr>
        <w:spacing w:after="17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along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w/neutrophils, alveolar macrophages are the major cells involved in the phagocytosis of </w:t>
      </w:r>
      <w:r>
        <w:rPr>
          <w:rFonts w:ascii="Times New Roman" w:eastAsia="Times New Roman" w:hAnsi="Times New Roman" w:cs="Times New Roman"/>
          <w:i/>
          <w:sz w:val="24"/>
        </w:rPr>
        <w:t xml:space="preserve">A.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fumigatus</w:t>
      </w:r>
      <w:proofErr w:type="spellEnd"/>
    </w:p>
    <w:p w14:paraId="2C0F86FB" w14:textId="77777777" w:rsidR="007E7613" w:rsidRDefault="00B60343" w:rsidP="00B60343">
      <w:pPr>
        <w:pStyle w:val="normal0"/>
        <w:numPr>
          <w:ilvl w:val="3"/>
          <w:numId w:val="1"/>
        </w:numPr>
        <w:spacing w:after="170" w:line="240" w:lineRule="auto"/>
        <w:ind w:left="2580"/>
        <w:contextualSpacing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lectin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-like interactions are thought to be primarily responsible for the adherence and ingestion of conidia by alveolar macrophag</w:t>
      </w:r>
      <w:r>
        <w:rPr>
          <w:rFonts w:ascii="Times New Roman" w:eastAsia="Times New Roman" w:hAnsi="Times New Roman" w:cs="Times New Roman"/>
          <w:sz w:val="24"/>
        </w:rPr>
        <w:t>es</w:t>
      </w:r>
    </w:p>
    <w:p w14:paraId="6ABA06D3" w14:textId="77777777" w:rsidR="007E7613" w:rsidRDefault="00B60343" w:rsidP="00B60343">
      <w:pPr>
        <w:pStyle w:val="normal0"/>
        <w:numPr>
          <w:ilvl w:val="2"/>
          <w:numId w:val="1"/>
        </w:numPr>
        <w:spacing w:after="17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hyphae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are destroyed by neutrophils in normal hosts</w:t>
      </w:r>
    </w:p>
    <w:p w14:paraId="7DA4BCF7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invasive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disease develops in </w:t>
      </w:r>
      <w:proofErr w:type="spellStart"/>
      <w:r>
        <w:rPr>
          <w:rFonts w:ascii="Times New Roman" w:eastAsia="Times New Roman" w:hAnsi="Times New Roman" w:cs="Times New Roman"/>
          <w:sz w:val="24"/>
        </w:rPr>
        <w:t>pts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w/phagocyte deficiencies (chronic granulomatous disease) and primarily in </w:t>
      </w:r>
      <w:proofErr w:type="spellStart"/>
      <w:r>
        <w:rPr>
          <w:rFonts w:ascii="Times New Roman" w:eastAsia="Times New Roman" w:hAnsi="Times New Roman" w:cs="Times New Roman"/>
          <w:sz w:val="24"/>
        </w:rPr>
        <w:t>pts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w/profound neutropenia</w:t>
      </w:r>
    </w:p>
    <w:p w14:paraId="33F25AA6" w14:textId="77777777" w:rsidR="007E7613" w:rsidRDefault="00B60343" w:rsidP="00B60343">
      <w:pPr>
        <w:pStyle w:val="normal0"/>
        <w:numPr>
          <w:ilvl w:val="2"/>
          <w:numId w:val="1"/>
        </w:numPr>
        <w:spacing w:after="17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neutropenic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A. fumigates</w:t>
      </w:r>
      <w:r>
        <w:rPr>
          <w:rFonts w:ascii="Times New Roman" w:eastAsia="Times New Roman" w:hAnsi="Times New Roman" w:cs="Times New Roman"/>
          <w:sz w:val="24"/>
        </w:rPr>
        <w:t xml:space="preserve"> invades the lungs,  producing gran</w:t>
      </w:r>
      <w:r>
        <w:rPr>
          <w:rFonts w:ascii="Times New Roman" w:eastAsia="Times New Roman" w:hAnsi="Times New Roman" w:cs="Times New Roman"/>
          <w:sz w:val="24"/>
        </w:rPr>
        <w:t>ulomas that are seen in chest x-rays</w:t>
      </w:r>
    </w:p>
    <w:p w14:paraId="738C6326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fungal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hydrolases and toxic molecules (e.g. hemolysis) of the </w:t>
      </w:r>
      <w:proofErr w:type="spellStart"/>
      <w:r>
        <w:rPr>
          <w:rFonts w:ascii="Times New Roman" w:eastAsia="Times New Roman" w:hAnsi="Times New Roman" w:cs="Times New Roman"/>
          <w:sz w:val="24"/>
        </w:rPr>
        <w:t>angioinvasive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pathogen are involved in endothelial damage, causing hemoptysis and other manifestations of invasive pulmonary </w:t>
      </w:r>
      <w:proofErr w:type="spellStart"/>
      <w:r>
        <w:rPr>
          <w:rFonts w:ascii="Times New Roman" w:eastAsia="Times New Roman" w:hAnsi="Times New Roman" w:cs="Times New Roman"/>
          <w:sz w:val="24"/>
        </w:rPr>
        <w:t>aspergillosis</w:t>
      </w:r>
      <w:proofErr w:type="spellEnd"/>
    </w:p>
    <w:p w14:paraId="6BC4A8A1" w14:textId="77777777" w:rsidR="007E7613" w:rsidRDefault="00B60343" w:rsidP="00B60343">
      <w:pPr>
        <w:pStyle w:val="normal0"/>
        <w:numPr>
          <w:ilvl w:val="0"/>
          <w:numId w:val="1"/>
        </w:numPr>
        <w:spacing w:after="0" w:line="240" w:lineRule="auto"/>
        <w:ind w:left="42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methods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of identification and placement into a particular biological subset: </w:t>
      </w:r>
    </w:p>
    <w:p w14:paraId="72862431" w14:textId="77777777" w:rsidR="007E7613" w:rsidRDefault="00B60343" w:rsidP="00B60343">
      <w:pPr>
        <w:pStyle w:val="normal0"/>
        <w:numPr>
          <w:ilvl w:val="1"/>
          <w:numId w:val="1"/>
        </w:numPr>
        <w:spacing w:after="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classic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morphological appearance in stained tissue is that of thin hyphae of even diameter that branch at a V-shaped (45°) angle</w:t>
      </w:r>
    </w:p>
    <w:p w14:paraId="1F2767CF" w14:textId="77777777" w:rsidR="007E7613" w:rsidRDefault="00B60343" w:rsidP="00B60343">
      <w:pPr>
        <w:pStyle w:val="normal0"/>
        <w:numPr>
          <w:ilvl w:val="1"/>
          <w:numId w:val="1"/>
        </w:numPr>
        <w:spacing w:after="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not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dimorphic</w:t>
      </w:r>
    </w:p>
    <w:p w14:paraId="45C63B5A" w14:textId="77777777" w:rsidR="007E7613" w:rsidRDefault="00B60343" w:rsidP="00B60343">
      <w:pPr>
        <w:pStyle w:val="normal0"/>
        <w:numPr>
          <w:ilvl w:val="1"/>
          <w:numId w:val="1"/>
        </w:numPr>
        <w:spacing w:after="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diagnostic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work-up – </w:t>
      </w:r>
    </w:p>
    <w:p w14:paraId="60DFCCA7" w14:textId="77777777" w:rsidR="007E7613" w:rsidRDefault="00B60343" w:rsidP="00B60343">
      <w:pPr>
        <w:pStyle w:val="normal0"/>
        <w:numPr>
          <w:ilvl w:val="2"/>
          <w:numId w:val="1"/>
        </w:numPr>
        <w:spacing w:after="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direct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microscopy – acid-fast stain, Gram stain of sputum, cytology staining</w:t>
      </w:r>
    </w:p>
    <w:p w14:paraId="04BAFE29" w14:textId="77777777" w:rsidR="007E7613" w:rsidRDefault="00B60343" w:rsidP="00B60343">
      <w:pPr>
        <w:pStyle w:val="normal0"/>
        <w:numPr>
          <w:ilvl w:val="2"/>
          <w:numId w:val="1"/>
        </w:numPr>
        <w:spacing w:after="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fungal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cultures</w:t>
      </w:r>
    </w:p>
    <w:p w14:paraId="14B5160E" w14:textId="77777777" w:rsidR="007E7613" w:rsidRDefault="00B60343" w:rsidP="00B60343">
      <w:pPr>
        <w:pStyle w:val="normal0"/>
        <w:numPr>
          <w:ilvl w:val="2"/>
          <w:numId w:val="1"/>
        </w:numPr>
        <w:spacing w:after="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serum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antigen testing for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Aspergillus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galactomannan</w:t>
      </w:r>
      <w:proofErr w:type="spellEnd"/>
    </w:p>
    <w:p w14:paraId="021BE28B" w14:textId="77777777" w:rsidR="007E7613" w:rsidRDefault="00B60343" w:rsidP="00B60343">
      <w:pPr>
        <w:pStyle w:val="normal0"/>
        <w:numPr>
          <w:ilvl w:val="2"/>
          <w:numId w:val="1"/>
        </w:numPr>
        <w:spacing w:after="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blood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cultures to rule out bacteremia</w:t>
      </w:r>
    </w:p>
    <w:p w14:paraId="02CE9E9B" w14:textId="77777777" w:rsidR="007E7613" w:rsidRDefault="007E7613" w:rsidP="00B60343">
      <w:pPr>
        <w:pStyle w:val="normal0"/>
        <w:spacing w:after="0" w:line="240" w:lineRule="auto"/>
        <w:contextualSpacing/>
      </w:pPr>
    </w:p>
    <w:p w14:paraId="4BA744F3" w14:textId="77777777" w:rsidR="007E7613" w:rsidRDefault="00B60343" w:rsidP="00B60343">
      <w:pPr>
        <w:pStyle w:val="normal0"/>
        <w:numPr>
          <w:ilvl w:val="0"/>
          <w:numId w:val="1"/>
        </w:numPr>
        <w:spacing w:after="0" w:line="240" w:lineRule="auto"/>
        <w:ind w:left="42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factors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leading to enhanced resistance or susceptibility</w:t>
      </w:r>
    </w:p>
    <w:p w14:paraId="6B0D084B" w14:textId="77777777" w:rsidR="007E7613" w:rsidRDefault="00B60343" w:rsidP="00B60343">
      <w:pPr>
        <w:pStyle w:val="normal0"/>
        <w:numPr>
          <w:ilvl w:val="1"/>
          <w:numId w:val="1"/>
        </w:numPr>
        <w:spacing w:after="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b/>
          <w:color w:val="0000FF"/>
          <w:sz w:val="24"/>
        </w:rPr>
        <w:t>cytotoxic</w:t>
      </w:r>
      <w:proofErr w:type="gramEnd"/>
      <w:r>
        <w:rPr>
          <w:rFonts w:ascii="Times New Roman" w:eastAsia="Times New Roman" w:hAnsi="Times New Roman" w:cs="Times New Roman"/>
          <w:b/>
          <w:color w:val="0000FF"/>
          <w:sz w:val="24"/>
        </w:rPr>
        <w:t xml:space="preserve"> drug</w:t>
      </w:r>
      <w:r>
        <w:rPr>
          <w:rFonts w:ascii="Times New Roman" w:eastAsia="Times New Roman" w:hAnsi="Times New Roman" w:cs="Times New Roman"/>
          <w:b/>
          <w:color w:val="0000FF"/>
          <w:sz w:val="24"/>
        </w:rPr>
        <w:t>s that lead to neutropenia greatly increase susceptibility</w:t>
      </w:r>
    </w:p>
    <w:p w14:paraId="6E041EA1" w14:textId="77777777" w:rsidR="007E7613" w:rsidRDefault="00B60343" w:rsidP="00B60343">
      <w:pPr>
        <w:pStyle w:val="normal0"/>
        <w:numPr>
          <w:ilvl w:val="1"/>
          <w:numId w:val="1"/>
        </w:numPr>
        <w:spacing w:after="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an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increase in the environmental load of conidia (as may occur during building reconstruction and renovation projects) may lead to increased risk of disease</w:t>
      </w:r>
    </w:p>
    <w:p w14:paraId="2F17EA38" w14:textId="77777777" w:rsidR="007E7613" w:rsidRDefault="00B60343" w:rsidP="00B60343">
      <w:pPr>
        <w:pStyle w:val="normal0"/>
        <w:numPr>
          <w:ilvl w:val="1"/>
          <w:numId w:val="1"/>
        </w:numPr>
        <w:spacing w:after="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other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risk factors include corticosteroi</w:t>
      </w:r>
      <w:r>
        <w:rPr>
          <w:rFonts w:ascii="Times New Roman" w:eastAsia="Times New Roman" w:hAnsi="Times New Roman" w:cs="Times New Roman"/>
          <w:sz w:val="24"/>
        </w:rPr>
        <w:t>d use, organ transplantation, GVHD, and advanced AIDS</w:t>
      </w:r>
    </w:p>
    <w:p w14:paraId="43813731" w14:textId="77777777" w:rsidR="007E7613" w:rsidRDefault="007E7613" w:rsidP="00B60343">
      <w:pPr>
        <w:pStyle w:val="normal0"/>
        <w:spacing w:after="0" w:line="240" w:lineRule="auto"/>
        <w:contextualSpacing/>
      </w:pPr>
    </w:p>
    <w:p w14:paraId="4F2F2C44" w14:textId="77777777" w:rsidR="007E7613" w:rsidRDefault="00B60343" w:rsidP="00B60343">
      <w:pPr>
        <w:pStyle w:val="normal0"/>
        <w:numPr>
          <w:ilvl w:val="1"/>
          <w:numId w:val="1"/>
        </w:numPr>
        <w:spacing w:after="17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other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organisms in the differential diagnosis and how to discriminate among potential causative agents:</w:t>
      </w:r>
    </w:p>
    <w:p w14:paraId="5FC201E5" w14:textId="77777777" w:rsidR="007E7613" w:rsidRDefault="00B60343" w:rsidP="00B60343">
      <w:pPr>
        <w:pStyle w:val="normal0"/>
        <w:numPr>
          <w:ilvl w:val="2"/>
          <w:numId w:val="1"/>
        </w:numPr>
        <w:spacing w:after="17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differential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</w:rPr>
        <w:t>aspergillosis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bacterial pneumonia, </w:t>
      </w:r>
      <w:proofErr w:type="spellStart"/>
      <w:r>
        <w:rPr>
          <w:rFonts w:ascii="Times New Roman" w:eastAsia="Times New Roman" w:hAnsi="Times New Roman" w:cs="Times New Roman"/>
          <w:sz w:val="24"/>
        </w:rPr>
        <w:t>legionellosis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nocardiosis</w:t>
      </w:r>
      <w:proofErr w:type="spellEnd"/>
      <w:r>
        <w:rPr>
          <w:rFonts w:ascii="Times New Roman" w:eastAsia="Times New Roman" w:hAnsi="Times New Roman" w:cs="Times New Roman"/>
          <w:sz w:val="24"/>
        </w:rPr>
        <w:t>, pneumocystis pneum</w:t>
      </w:r>
      <w:r>
        <w:rPr>
          <w:rFonts w:ascii="Times New Roman" w:eastAsia="Times New Roman" w:hAnsi="Times New Roman" w:cs="Times New Roman"/>
          <w:sz w:val="24"/>
        </w:rPr>
        <w:t xml:space="preserve">onia, </w:t>
      </w:r>
      <w:proofErr w:type="spellStart"/>
      <w:r>
        <w:rPr>
          <w:rFonts w:ascii="Times New Roman" w:eastAsia="Times New Roman" w:hAnsi="Times New Roman" w:cs="Times New Roman"/>
          <w:sz w:val="24"/>
        </w:rPr>
        <w:t>zygomycosis</w:t>
      </w:r>
      <w:proofErr w:type="spellEnd"/>
    </w:p>
    <w:p w14:paraId="30CF9C30" w14:textId="77777777" w:rsidR="007E7613" w:rsidRDefault="00B60343" w:rsidP="00B60343">
      <w:pPr>
        <w:pStyle w:val="normal0"/>
        <w:numPr>
          <w:ilvl w:val="2"/>
          <w:numId w:val="1"/>
        </w:numPr>
        <w:spacing w:after="17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lastRenderedPageBreak/>
        <w:t>rationale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clinical scenario highly characteristic for invasive pulmonary </w:t>
      </w:r>
      <w:proofErr w:type="spellStart"/>
      <w:r>
        <w:rPr>
          <w:rFonts w:ascii="Times New Roman" w:eastAsia="Times New Roman" w:hAnsi="Times New Roman" w:cs="Times New Roman"/>
          <w:sz w:val="24"/>
        </w:rPr>
        <w:t>aspergillosis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</w:rPr>
        <w:t>pts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w/neutropenia.  While the other organisms listed can also cause severe pneumonia, the CT findings in this case suggest </w:t>
      </w:r>
      <w:proofErr w:type="spellStart"/>
      <w:r>
        <w:rPr>
          <w:rFonts w:ascii="Times New Roman" w:eastAsia="Times New Roman" w:hAnsi="Times New Roman" w:cs="Times New Roman"/>
          <w:sz w:val="24"/>
        </w:rPr>
        <w:t>aspergillosis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14:paraId="27A7A9CB" w14:textId="77777777" w:rsidR="007E7613" w:rsidRDefault="00B60343" w:rsidP="00B60343">
      <w:pPr>
        <w:pStyle w:val="normal0"/>
        <w:numPr>
          <w:ilvl w:val="0"/>
          <w:numId w:val="1"/>
        </w:numPr>
        <w:spacing w:after="0" w:line="240" w:lineRule="auto"/>
        <w:ind w:left="42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preven</w:t>
      </w:r>
      <w:r>
        <w:rPr>
          <w:rFonts w:ascii="Times New Roman" w:eastAsia="Times New Roman" w:hAnsi="Times New Roman" w:cs="Times New Roman"/>
          <w:sz w:val="24"/>
        </w:rPr>
        <w:t>tion</w:t>
      </w:r>
      <w:proofErr w:type="gramEnd"/>
      <w:r>
        <w:rPr>
          <w:rFonts w:ascii="Times New Roman" w:eastAsia="Times New Roman" w:hAnsi="Times New Roman" w:cs="Times New Roman"/>
          <w:sz w:val="24"/>
        </w:rPr>
        <w:t>, treatment and vaccine design (live vs. dead):</w:t>
      </w:r>
    </w:p>
    <w:p w14:paraId="662987BE" w14:textId="77777777" w:rsidR="007E7613" w:rsidRDefault="00B60343" w:rsidP="00B60343">
      <w:pPr>
        <w:pStyle w:val="normal0"/>
        <w:numPr>
          <w:ilvl w:val="1"/>
          <w:numId w:val="1"/>
        </w:numPr>
        <w:spacing w:after="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prevention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and vaccine – no immunization is available; recovery from neutropenia is necessary, achieved by reducing levels of implicated drugs and administration of colony-stimulating factors such as GCSF</w:t>
      </w:r>
    </w:p>
    <w:p w14:paraId="62496A4C" w14:textId="77777777" w:rsidR="007E7613" w:rsidRDefault="00B60343" w:rsidP="00B60343">
      <w:pPr>
        <w:pStyle w:val="normal0"/>
        <w:numPr>
          <w:ilvl w:val="2"/>
          <w:numId w:val="1"/>
        </w:numPr>
        <w:spacing w:after="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high</w:t>
      </w:r>
      <w:proofErr w:type="gramEnd"/>
      <w:r>
        <w:rPr>
          <w:rFonts w:ascii="Times New Roman" w:eastAsia="Times New Roman" w:hAnsi="Times New Roman" w:cs="Times New Roman"/>
          <w:sz w:val="24"/>
        </w:rPr>
        <w:t>-efficiency particulate air (HEPA) filtration h</w:t>
      </w:r>
      <w:r>
        <w:rPr>
          <w:rFonts w:ascii="Times New Roman" w:eastAsia="Times New Roman" w:hAnsi="Times New Roman" w:cs="Times New Roman"/>
          <w:sz w:val="24"/>
        </w:rPr>
        <w:t>as also been recommended for high-risk patients</w:t>
      </w:r>
    </w:p>
    <w:p w14:paraId="357FE37D" w14:textId="77777777" w:rsidR="007E7613" w:rsidRDefault="00B60343" w:rsidP="00B60343">
      <w:pPr>
        <w:pStyle w:val="normal0"/>
        <w:numPr>
          <w:ilvl w:val="1"/>
          <w:numId w:val="1"/>
        </w:numPr>
        <w:spacing w:after="0" w:line="240" w:lineRule="auto"/>
        <w:ind w:left="114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treatment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amphotericin B standard for therapy for many years, and many amphotericin B lipid preparations are available to help reduce nephrotoxicity</w:t>
      </w:r>
    </w:p>
    <w:p w14:paraId="0647123F" w14:textId="77777777" w:rsidR="007E7613" w:rsidRDefault="00B60343" w:rsidP="00B60343">
      <w:pPr>
        <w:pStyle w:val="normal0"/>
        <w:numPr>
          <w:ilvl w:val="2"/>
          <w:numId w:val="1"/>
        </w:numPr>
        <w:spacing w:after="0" w:line="240" w:lineRule="auto"/>
        <w:ind w:left="1860"/>
        <w:contextualSpacing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voriconazole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now considered DOC for invasive pulmonary </w:t>
      </w:r>
      <w:proofErr w:type="spellStart"/>
      <w:r>
        <w:rPr>
          <w:rFonts w:ascii="Times New Roman" w:eastAsia="Times New Roman" w:hAnsi="Times New Roman" w:cs="Times New Roman"/>
          <w:sz w:val="24"/>
        </w:rPr>
        <w:t>as</w:t>
      </w:r>
      <w:r>
        <w:rPr>
          <w:rFonts w:ascii="Times New Roman" w:eastAsia="Times New Roman" w:hAnsi="Times New Roman" w:cs="Times New Roman"/>
          <w:sz w:val="24"/>
        </w:rPr>
        <w:t>pergillosis</w:t>
      </w:r>
      <w:proofErr w:type="spellEnd"/>
    </w:p>
    <w:p w14:paraId="6F93BA93" w14:textId="77777777" w:rsidR="007E7613" w:rsidRDefault="00B60343" w:rsidP="00B60343">
      <w:pPr>
        <w:pStyle w:val="normal0"/>
        <w:numPr>
          <w:ilvl w:val="2"/>
          <w:numId w:val="1"/>
        </w:numPr>
        <w:spacing w:after="0" w:line="240" w:lineRule="auto"/>
        <w:ind w:left="1860"/>
        <w:contextualSpacing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itraconazole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may be considered for use in less </w:t>
      </w:r>
      <w:proofErr w:type="spellStart"/>
      <w:r>
        <w:rPr>
          <w:rFonts w:ascii="Times New Roman" w:eastAsia="Times New Roman" w:hAnsi="Times New Roman" w:cs="Times New Roman"/>
          <w:sz w:val="24"/>
        </w:rPr>
        <w:t>immunocompromised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pts</w:t>
      </w:r>
      <w:proofErr w:type="spellEnd"/>
    </w:p>
    <w:p w14:paraId="11698261" w14:textId="77777777" w:rsidR="007E7613" w:rsidRDefault="00B60343" w:rsidP="00B60343">
      <w:pPr>
        <w:pStyle w:val="normal0"/>
        <w:numPr>
          <w:ilvl w:val="2"/>
          <w:numId w:val="1"/>
        </w:numPr>
        <w:spacing w:after="0" w:line="240" w:lineRule="auto"/>
        <w:ind w:left="1860"/>
        <w:contextualSpacing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caspofungin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(an </w:t>
      </w:r>
      <w:proofErr w:type="spellStart"/>
      <w:r>
        <w:rPr>
          <w:rFonts w:ascii="Times New Roman" w:eastAsia="Times New Roman" w:hAnsi="Times New Roman" w:cs="Times New Roman"/>
          <w:sz w:val="24"/>
        </w:rPr>
        <w:t>echinocandin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considered second-line </w:t>
      </w:r>
      <w:proofErr w:type="spellStart"/>
      <w:r>
        <w:rPr>
          <w:rFonts w:ascii="Times New Roman" w:eastAsia="Times New Roman" w:hAnsi="Times New Roman" w:cs="Times New Roman"/>
          <w:sz w:val="24"/>
        </w:rPr>
        <w:t>tx</w:t>
      </w:r>
      <w:proofErr w:type="spellEnd"/>
    </w:p>
    <w:p w14:paraId="17BB8926" w14:textId="77777777" w:rsidR="007E7613" w:rsidRDefault="00B60343" w:rsidP="00B60343">
      <w:pPr>
        <w:pStyle w:val="normal0"/>
        <w:numPr>
          <w:ilvl w:val="2"/>
          <w:numId w:val="1"/>
        </w:numPr>
        <w:spacing w:after="0" w:line="240" w:lineRule="auto"/>
        <w:ind w:left="1860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</w:rPr>
        <w:t>duration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</w:rPr>
        <w:t>tx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depends on improvement in host defenses and severity of </w:t>
      </w:r>
      <w:proofErr w:type="spellStart"/>
      <w:r>
        <w:rPr>
          <w:rFonts w:ascii="Times New Roman" w:eastAsia="Times New Roman" w:hAnsi="Times New Roman" w:cs="Times New Roman"/>
          <w:sz w:val="24"/>
        </w:rPr>
        <w:t>diseaes</w:t>
      </w:r>
      <w:proofErr w:type="spellEnd"/>
    </w:p>
    <w:p w14:paraId="10893C57" w14:textId="77777777" w:rsidR="007E7613" w:rsidRDefault="007E7613" w:rsidP="00B60343">
      <w:pPr>
        <w:pStyle w:val="normal0"/>
        <w:spacing w:after="0" w:line="240" w:lineRule="auto"/>
        <w:contextualSpacing/>
      </w:pPr>
    </w:p>
    <w:p w14:paraId="7BDC9EA8" w14:textId="77777777" w:rsidR="007E7613" w:rsidRDefault="007E7613" w:rsidP="00B60343">
      <w:pPr>
        <w:pStyle w:val="normal0"/>
        <w:contextualSpacing/>
      </w:pPr>
    </w:p>
    <w:p w14:paraId="59BF970E" w14:textId="77777777" w:rsidR="007E7613" w:rsidRDefault="007E7613" w:rsidP="00B60343">
      <w:pPr>
        <w:pStyle w:val="normal0"/>
        <w:contextualSpacing/>
      </w:pPr>
    </w:p>
    <w:p w14:paraId="2612D006" w14:textId="77777777" w:rsidR="007E7613" w:rsidRDefault="007E7613" w:rsidP="00B60343">
      <w:pPr>
        <w:pStyle w:val="normal0"/>
        <w:contextualSpacing/>
      </w:pPr>
    </w:p>
    <w:p w14:paraId="3AC34B26" w14:textId="77777777" w:rsidR="007E7613" w:rsidRDefault="007E7613" w:rsidP="00B60343">
      <w:pPr>
        <w:pStyle w:val="normal0"/>
        <w:contextualSpacing/>
      </w:pPr>
      <w:bookmarkStart w:id="0" w:name="_GoBack"/>
      <w:bookmarkEnd w:id="0"/>
    </w:p>
    <w:sectPr w:rsidR="007E7613" w:rsidSect="00B60343">
      <w:pgSz w:w="12240" w:h="163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9174F"/>
    <w:multiLevelType w:val="hybridMultilevel"/>
    <w:tmpl w:val="E6700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7E7613"/>
    <w:rsid w:val="007E7613"/>
    <w:rsid w:val="00B6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1C2E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564</Words>
  <Characters>3217</Characters>
  <Application>Microsoft Macintosh Word</Application>
  <DocSecurity>0</DocSecurity>
  <Lines>26</Lines>
  <Paragraphs>7</Paragraphs>
  <ScaleCrop>false</ScaleCrop>
  <Company>University of Toledo College of Medicine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16 Aspergillosis.docx.docx</dc:title>
  <cp:lastModifiedBy>Elisa Furay</cp:lastModifiedBy>
  <cp:revision>2</cp:revision>
  <cp:lastPrinted>2012-11-05T00:38:00Z</cp:lastPrinted>
  <dcterms:created xsi:type="dcterms:W3CDTF">2012-11-05T00:36:00Z</dcterms:created>
  <dcterms:modified xsi:type="dcterms:W3CDTF">2012-11-05T00:39:00Z</dcterms:modified>
</cp:coreProperties>
</file>